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FDFD" w14:textId="7046AC0F" w:rsidR="00DB3ACC" w:rsidRPr="00853D73" w:rsidRDefault="00DB3ACC" w:rsidP="004B1901">
      <w:pPr>
        <w:tabs>
          <w:tab w:val="left" w:pos="6663"/>
        </w:tabs>
        <w:autoSpaceDE w:val="0"/>
        <w:autoSpaceDN w:val="0"/>
        <w:adjustRightInd w:val="0"/>
        <w:spacing w:before="0" w:after="0"/>
        <w:ind w:left="0" w:right="0"/>
        <w:contextualSpacing/>
        <w:mirrorIndents/>
        <w:jc w:val="center"/>
        <w:rPr>
          <w:rFonts w:ascii="Tahoma" w:eastAsia="Calibri" w:hAnsi="Tahoma" w:cs="Tahoma"/>
          <w:b/>
          <w:bCs/>
          <w:color w:val="000000"/>
          <w:kern w:val="0"/>
          <w:sz w:val="32"/>
          <w:szCs w:val="32"/>
          <w:lang w:val="pt-BR" w:eastAsia="en-US"/>
        </w:rPr>
      </w:pPr>
      <w:r w:rsidRPr="00853D73">
        <w:rPr>
          <w:rFonts w:ascii="Tahoma" w:eastAsia="Calibri" w:hAnsi="Tahoma" w:cs="Tahoma"/>
          <w:b/>
          <w:bCs/>
          <w:color w:val="000000"/>
          <w:kern w:val="0"/>
          <w:sz w:val="32"/>
          <w:szCs w:val="32"/>
          <w:lang w:val="pt-BR" w:eastAsia="en-US"/>
        </w:rPr>
        <w:t>PAULA LANFRANCHI BRUNHARO MINH</w:t>
      </w:r>
    </w:p>
    <w:p w14:paraId="07AD7FE2" w14:textId="2847D3EC" w:rsidR="00DB3ACC" w:rsidRPr="00C00BE0" w:rsidRDefault="00DB3ACC" w:rsidP="005F69A0">
      <w:pPr>
        <w:tabs>
          <w:tab w:val="left" w:pos="5954"/>
          <w:tab w:val="left" w:pos="6663"/>
        </w:tabs>
        <w:autoSpaceDE w:val="0"/>
        <w:autoSpaceDN w:val="0"/>
        <w:adjustRightInd w:val="0"/>
        <w:spacing w:before="0" w:after="0"/>
        <w:ind w:left="0" w:right="0"/>
        <w:contextualSpacing/>
        <w:mirrorIndents/>
        <w:jc w:val="center"/>
        <w:rPr>
          <w:rFonts w:ascii="Tahoma" w:hAnsi="Tahoma" w:cs="Tahoma"/>
          <w:color w:val="000000"/>
          <w:sz w:val="20"/>
          <w:lang w:val="pt-BR"/>
        </w:rPr>
      </w:pPr>
      <w:r w:rsidRPr="00853D73">
        <w:rPr>
          <w:rFonts w:ascii="Tahoma" w:eastAsia="Calibri" w:hAnsi="Tahoma" w:cs="Tahoma"/>
          <w:color w:val="000000"/>
          <w:kern w:val="0"/>
          <w:sz w:val="20"/>
          <w:lang w:val="pt-BR" w:eastAsia="en-US"/>
        </w:rPr>
        <w:t>Celular: +56 9 3427 7418</w:t>
      </w:r>
      <w:r w:rsidR="005F69A0">
        <w:rPr>
          <w:rFonts w:ascii="Tahoma" w:eastAsia="Calibri" w:hAnsi="Tahoma" w:cs="Tahoma"/>
          <w:color w:val="000000"/>
          <w:kern w:val="0"/>
          <w:sz w:val="20"/>
          <w:lang w:val="pt-BR" w:eastAsia="en-US"/>
        </w:rPr>
        <w:tab/>
      </w:r>
      <w:hyperlink r:id="rId11" w:history="1">
        <w:r w:rsidRPr="00C00BE0">
          <w:rPr>
            <w:rFonts w:ascii="Tahoma" w:hAnsi="Tahoma" w:cs="Tahoma"/>
            <w:color w:val="000000"/>
            <w:sz w:val="20"/>
            <w:lang w:val="pt-BR"/>
          </w:rPr>
          <w:t>plbminh@yahoo.com</w:t>
        </w:r>
      </w:hyperlink>
    </w:p>
    <w:p w14:paraId="260FB88D" w14:textId="77777777" w:rsidR="00DB3ACC" w:rsidRPr="00C00BE0" w:rsidRDefault="00DB3ACC" w:rsidP="004B1901">
      <w:pPr>
        <w:tabs>
          <w:tab w:val="left" w:pos="6663"/>
        </w:tabs>
        <w:autoSpaceDE w:val="0"/>
        <w:autoSpaceDN w:val="0"/>
        <w:adjustRightInd w:val="0"/>
        <w:spacing w:before="0" w:after="0"/>
        <w:ind w:left="0" w:right="0"/>
        <w:contextualSpacing/>
        <w:mirrorIndents/>
        <w:jc w:val="center"/>
        <w:rPr>
          <w:rFonts w:ascii="Tahoma" w:eastAsia="Calibri" w:hAnsi="Tahoma" w:cs="Tahoma"/>
          <w:color w:val="000000"/>
          <w:kern w:val="0"/>
          <w:sz w:val="20"/>
          <w:lang w:val="pt-BR" w:eastAsia="en-US"/>
        </w:rPr>
      </w:pPr>
      <w:r w:rsidRPr="00C00BE0">
        <w:rPr>
          <w:rFonts w:ascii="Tahoma" w:eastAsia="Calibri" w:hAnsi="Tahoma" w:cs="Tahoma"/>
          <w:color w:val="000000"/>
          <w:kern w:val="0"/>
          <w:sz w:val="20"/>
          <w:lang w:val="pt-BR" w:eastAsia="en-US"/>
        </w:rPr>
        <w:t>https://www.linkedin.com/in/paula-lanfranchi-b-minh-15290930/</w:t>
      </w:r>
    </w:p>
    <w:p w14:paraId="0B56B917" w14:textId="77777777" w:rsidR="00417B32" w:rsidRPr="005C3B5A" w:rsidRDefault="00417B32" w:rsidP="002C494C">
      <w:pPr>
        <w:tabs>
          <w:tab w:val="left" w:pos="6663"/>
          <w:tab w:val="left" w:pos="7371"/>
        </w:tabs>
        <w:autoSpaceDE w:val="0"/>
        <w:autoSpaceDN w:val="0"/>
        <w:adjustRightInd w:val="0"/>
        <w:spacing w:before="12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</w:p>
    <w:p w14:paraId="1BA4AEA1" w14:textId="71F62783" w:rsidR="006A0FCC" w:rsidRPr="002C494C" w:rsidRDefault="006A0FCC" w:rsidP="002C494C">
      <w:pPr>
        <w:tabs>
          <w:tab w:val="left" w:pos="6663"/>
          <w:tab w:val="left" w:pos="7371"/>
        </w:tabs>
        <w:autoSpaceDE w:val="0"/>
        <w:autoSpaceDN w:val="0"/>
        <w:adjustRightInd w:val="0"/>
        <w:spacing w:before="12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2C494C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RESUMEN PROFESIONAL</w:t>
      </w:r>
    </w:p>
    <w:p w14:paraId="1F2E8BA3" w14:textId="77777777" w:rsidR="00C00BE0" w:rsidRDefault="00C00BE0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Profesional con más de 20 años de experiencia en roles administrativos, 5 años en Comercio Exterior y más de 25 años en TI. Habilidades en gestión de departamentos, liderazgo y desarrollo de equipos. Especializada en gestión de procesos, optimización, reducción de costos, liderazgo de proyectos y desarrollo de equipos. Conocimientos avanzados en software de oficina y programación. Destacada en análisis de datos, comunicación, contabilidad, gestión financiera y procesos de importación/exportación. Fuertes habilidades analíticas, interpretación de datos y organización. Alto compromiso con el cumplimiento de plazos y objetivos. Excelentes habilidades de comunicación escrita y verbal. Experiencia en administración de empresas, condominios, atención al cliente y gestión de eventos. Residente en Chile desde 2006, con un período de 5 años en Brasil por motivos personales.</w:t>
      </w:r>
    </w:p>
    <w:p w14:paraId="4AEE7303" w14:textId="77777777" w:rsidR="005F69A0" w:rsidRDefault="005F69A0" w:rsidP="00417B32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</w:p>
    <w:p w14:paraId="5C639581" w14:textId="7A849253" w:rsidR="006A0FCC" w:rsidRPr="002C494C" w:rsidRDefault="006A0FCC" w:rsidP="00417B32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2C494C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EXPERIENCIA PROFESIONAL</w:t>
      </w:r>
    </w:p>
    <w:p w14:paraId="736B5BC3" w14:textId="1E53DF98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 xml:space="preserve">T. Villard Fine </w:t>
      </w:r>
      <w:proofErr w:type="spellStart"/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Wines</w:t>
      </w:r>
      <w:proofErr w:type="spellEnd"/>
    </w:p>
    <w:p w14:paraId="04829DAD" w14:textId="5A1F2AC1" w:rsidR="006A0FCC" w:rsidRPr="00853D73" w:rsidRDefault="006A0FCC" w:rsidP="00205B80">
      <w:pPr>
        <w:tabs>
          <w:tab w:val="left" w:pos="595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Asistente Administrativo Financiero y de Exportación 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ab/>
        <w:t>Santiago, Chile — May/</w:t>
      </w:r>
      <w:r w:rsidR="004B1901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20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23</w:t>
      </w:r>
      <w:r w:rsidR="00414A99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-Sept/2024</w:t>
      </w:r>
    </w:p>
    <w:p w14:paraId="31B3D6AF" w14:textId="77777777" w:rsidR="00C00BE0" w:rsidRPr="00C00BE0" w:rsidRDefault="00C00BE0" w:rsidP="002C494C">
      <w:pPr>
        <w:pStyle w:val="ListParagraph"/>
        <w:numPr>
          <w:ilvl w:val="1"/>
          <w:numId w:val="21"/>
        </w:numPr>
        <w:spacing w:before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Emisión y gestión de documentos fiscales y de exportación.</w:t>
      </w:r>
    </w:p>
    <w:p w14:paraId="5B3FBDEE" w14:textId="77777777" w:rsidR="00C00BE0" w:rsidRPr="00C00BE0" w:rsidRDefault="00C00BE0" w:rsidP="002C494C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Control de cuentas bancarias, conciliaciones y análisis financiero.</w:t>
      </w:r>
    </w:p>
    <w:p w14:paraId="376642CE" w14:textId="77777777" w:rsidR="00C00BE0" w:rsidRPr="00C00BE0" w:rsidRDefault="00C00BE0" w:rsidP="002C494C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Gestión de compras, pedidos y documentación de exportación.</w:t>
      </w:r>
    </w:p>
    <w:p w14:paraId="691DAF87" w14:textId="77777777" w:rsidR="00C00BE0" w:rsidRPr="00C00BE0" w:rsidRDefault="00C00BE0" w:rsidP="002C494C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Control de cuentas por pagar y cobrar.</w:t>
      </w:r>
    </w:p>
    <w:p w14:paraId="32E3ADF4" w14:textId="77777777" w:rsidR="00C00BE0" w:rsidRPr="00C00BE0" w:rsidRDefault="00C00BE0" w:rsidP="002C494C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Utilización del ERP OBUMA y herramientas como Excel, Word, Publisher y Adobe.</w:t>
      </w:r>
    </w:p>
    <w:p w14:paraId="6E2D256E" w14:textId="2C20DF17" w:rsidR="006A0FCC" w:rsidRPr="00C00BE0" w:rsidRDefault="00C00BE0" w:rsidP="002C494C">
      <w:pPr>
        <w:pStyle w:val="ListParagraph"/>
        <w:numPr>
          <w:ilvl w:val="1"/>
          <w:numId w:val="21"/>
        </w:numPr>
        <w:spacing w:before="0" w:after="12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Participación en eventos y ventas al por menor.</w:t>
      </w:r>
    </w:p>
    <w:p w14:paraId="27434D37" w14:textId="77777777" w:rsidR="006A0FCC" w:rsidRPr="00C00BE0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eastAsia="en-US"/>
        </w:rPr>
      </w:pPr>
      <w:r w:rsidRPr="00C00BE0">
        <w:rPr>
          <w:rFonts w:ascii="Tahoma" w:eastAsia="Calibri" w:hAnsi="Tahoma" w:cs="Tahoma"/>
          <w:b/>
          <w:color w:val="000000"/>
          <w:kern w:val="0"/>
          <w:sz w:val="20"/>
          <w:lang w:eastAsia="en-US"/>
        </w:rPr>
        <w:t>IPAM Technology S.A. (</w:t>
      </w:r>
      <w:proofErr w:type="spellStart"/>
      <w:r w:rsidRPr="00C00BE0">
        <w:rPr>
          <w:rFonts w:ascii="Tahoma" w:eastAsia="Calibri" w:hAnsi="Tahoma" w:cs="Tahoma"/>
          <w:b/>
          <w:color w:val="000000"/>
          <w:kern w:val="0"/>
          <w:sz w:val="20"/>
          <w:lang w:eastAsia="en-US"/>
        </w:rPr>
        <w:t>Airlife</w:t>
      </w:r>
      <w:proofErr w:type="spellEnd"/>
      <w:r w:rsidRPr="00C00BE0">
        <w:rPr>
          <w:rFonts w:ascii="Tahoma" w:eastAsia="Calibri" w:hAnsi="Tahoma" w:cs="Tahoma"/>
          <w:b/>
          <w:color w:val="000000"/>
          <w:kern w:val="0"/>
          <w:sz w:val="20"/>
          <w:lang w:eastAsia="en-US"/>
        </w:rPr>
        <w:t>)</w:t>
      </w:r>
    </w:p>
    <w:p w14:paraId="082CCE45" w14:textId="38655677" w:rsidR="006A0FCC" w:rsidRPr="00853D73" w:rsidRDefault="006A0FCC" w:rsidP="00205B80">
      <w:pPr>
        <w:tabs>
          <w:tab w:val="left" w:pos="595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Jefe de </w:t>
      </w:r>
      <w:r w:rsidR="00631EB2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Compras, Importación y Exportación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ab/>
        <w:t xml:space="preserve">Santiago, Chile — </w:t>
      </w:r>
      <w:r w:rsidR="004B1901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Feb</w:t>
      </w:r>
      <w:r w:rsidR="00512960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2022–Abr/2023</w:t>
      </w:r>
    </w:p>
    <w:p w14:paraId="741267CC" w14:textId="77777777" w:rsidR="005C3B5A" w:rsidRPr="005C3B5A" w:rsidRDefault="005C3B5A" w:rsidP="005C3B5A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5C3B5A">
        <w:rPr>
          <w:rFonts w:ascii="Tahoma" w:hAnsi="Tahoma" w:cs="Tahoma"/>
          <w:color w:val="auto"/>
          <w:sz w:val="20"/>
          <w:lang w:val="es-CL"/>
        </w:rPr>
        <w:t>Lideré un equipo de 6 personas para gestionar adquisiciones nacionales e internacionales, optimizando la cadena de suministro y mejorando la eficiencia en un 20%.</w:t>
      </w:r>
    </w:p>
    <w:p w14:paraId="0124E8EF" w14:textId="77777777" w:rsidR="005C3B5A" w:rsidRPr="005C3B5A" w:rsidRDefault="005C3B5A" w:rsidP="005C3B5A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5C3B5A">
        <w:rPr>
          <w:rFonts w:ascii="Tahoma" w:hAnsi="Tahoma" w:cs="Tahoma"/>
          <w:color w:val="auto"/>
          <w:sz w:val="20"/>
          <w:lang w:val="es-CL"/>
        </w:rPr>
        <w:t>Supervisé importaciones y exportaciones, garantizando el cumplimiento de las regulaciones aduaneras y logísticas para evitar retrasos en la entrega de productos.</w:t>
      </w:r>
    </w:p>
    <w:p w14:paraId="0008DAFD" w14:textId="77777777" w:rsidR="005C3B5A" w:rsidRPr="005C3B5A" w:rsidRDefault="005C3B5A" w:rsidP="005C3B5A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5C3B5A">
        <w:rPr>
          <w:rFonts w:ascii="Tahoma" w:hAnsi="Tahoma" w:cs="Tahoma"/>
          <w:color w:val="auto"/>
          <w:sz w:val="20"/>
          <w:lang w:val="es-CL"/>
        </w:rPr>
        <w:t>Negociación con proveedores internacionales y gestión de pagos, logrando acuerdos favorables que redujeron los costos operacionales en un 15%.</w:t>
      </w:r>
    </w:p>
    <w:p w14:paraId="6EC5DE4C" w14:textId="77777777" w:rsidR="005C3B5A" w:rsidRPr="005C3B5A" w:rsidRDefault="005C3B5A" w:rsidP="005C3B5A">
      <w:pPr>
        <w:pStyle w:val="ListParagraph"/>
        <w:numPr>
          <w:ilvl w:val="1"/>
          <w:numId w:val="21"/>
        </w:numPr>
        <w:spacing w:before="0" w:after="0"/>
        <w:ind w:left="709" w:hanging="357"/>
        <w:rPr>
          <w:rFonts w:ascii="Tahoma" w:hAnsi="Tahoma" w:cs="Tahoma"/>
          <w:color w:val="auto"/>
          <w:sz w:val="20"/>
          <w:lang w:val="es-CL"/>
        </w:rPr>
      </w:pPr>
      <w:r w:rsidRPr="005C3B5A">
        <w:rPr>
          <w:rFonts w:ascii="Tahoma" w:hAnsi="Tahoma" w:cs="Tahoma"/>
          <w:color w:val="auto"/>
          <w:sz w:val="20"/>
          <w:lang w:val="es-CL"/>
        </w:rPr>
        <w:t>Optimización de procesos de almacenaje y distribución mediante el uso de ERP MANAGER, lo que permitió una reducción en el tiempo de despacho en un 25%.</w:t>
      </w:r>
    </w:p>
    <w:p w14:paraId="0E88B71C" w14:textId="1CD32D3D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proofErr w:type="spellStart"/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Aermec</w:t>
      </w:r>
      <w:proofErr w:type="spellEnd"/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 xml:space="preserve"> South </w:t>
      </w:r>
      <w:r w:rsidR="00634C4B"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América</w:t>
      </w: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 xml:space="preserve"> SPA</w:t>
      </w:r>
    </w:p>
    <w:p w14:paraId="56B34FB4" w14:textId="0E2426AC" w:rsidR="006A0FCC" w:rsidRPr="00853D73" w:rsidRDefault="006A0FCC" w:rsidP="00205B80">
      <w:pPr>
        <w:tabs>
          <w:tab w:val="left" w:pos="595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Soporte Administrativo y Analista </w:t>
      </w:r>
      <w:r w:rsidR="00631EB2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de Importación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ab/>
        <w:t xml:space="preserve">Santiago, Chile — </w:t>
      </w:r>
      <w:r w:rsidR="00512960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Mar/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2019–</w:t>
      </w:r>
      <w:r w:rsidR="00512960"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Jun/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2021</w:t>
      </w:r>
    </w:p>
    <w:p w14:paraId="7B22517E" w14:textId="77777777" w:rsidR="00C00BE0" w:rsidRPr="00C00BE0" w:rsidRDefault="006A0FCC" w:rsidP="002C494C">
      <w:pPr>
        <w:pStyle w:val="ListParagraph"/>
        <w:numPr>
          <w:ilvl w:val="0"/>
          <w:numId w:val="2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Gestión de importaciones, cálculos logísticos y reducción de costos.</w:t>
      </w:r>
    </w:p>
    <w:p w14:paraId="07BABDA4" w14:textId="77777777" w:rsidR="00C00BE0" w:rsidRPr="00C00BE0" w:rsidRDefault="004B1901" w:rsidP="002C494C">
      <w:pPr>
        <w:pStyle w:val="ListParagraph"/>
        <w:numPr>
          <w:ilvl w:val="0"/>
          <w:numId w:val="2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Gestión financiera.</w:t>
      </w:r>
    </w:p>
    <w:p w14:paraId="6DAE6F51" w14:textId="77777777" w:rsidR="00C00BE0" w:rsidRPr="00C00BE0" w:rsidRDefault="006A0FCC" w:rsidP="002C494C">
      <w:pPr>
        <w:pStyle w:val="ListParagraph"/>
        <w:numPr>
          <w:ilvl w:val="0"/>
          <w:numId w:val="2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Administración de pagos, cobros</w:t>
      </w:r>
      <w:r w:rsidR="004B1901"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.</w:t>
      </w:r>
    </w:p>
    <w:p w14:paraId="48B53003" w14:textId="77777777" w:rsidR="00C00BE0" w:rsidRPr="00C00BE0" w:rsidRDefault="004B1901" w:rsidP="002C494C">
      <w:pPr>
        <w:pStyle w:val="ListParagraph"/>
        <w:numPr>
          <w:ilvl w:val="0"/>
          <w:numId w:val="2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Control de precios.</w:t>
      </w:r>
    </w:p>
    <w:p w14:paraId="36B9F102" w14:textId="308DBDC0" w:rsidR="006A0FCC" w:rsidRPr="00C00BE0" w:rsidRDefault="006A0FCC" w:rsidP="002C494C">
      <w:pPr>
        <w:pStyle w:val="ListParagraph"/>
        <w:numPr>
          <w:ilvl w:val="0"/>
          <w:numId w:val="2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12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Atención a clientes y gestión de proveedores.</w:t>
      </w:r>
    </w:p>
    <w:p w14:paraId="165F98E5" w14:textId="77777777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Condominio Village Vargem Grande</w:t>
      </w:r>
    </w:p>
    <w:p w14:paraId="02CE55A6" w14:textId="0513E65A" w:rsidR="006A0FCC" w:rsidRPr="00853D73" w:rsidRDefault="006A0FCC" w:rsidP="00205B80">
      <w:pPr>
        <w:tabs>
          <w:tab w:val="left" w:pos="595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Administradora de Condominio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Río d</w:t>
      </w:r>
      <w:r w:rsidR="004B190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e 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Janeiro, Brasil —</w:t>
      </w:r>
      <w:r w:rsidR="0006423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 Oct</w:t>
      </w:r>
      <w:r w:rsidR="004B190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2016–</w:t>
      </w:r>
      <w:r w:rsidR="0006423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Dic/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2018</w:t>
      </w:r>
    </w:p>
    <w:p w14:paraId="42CEBA13" w14:textId="77777777" w:rsidR="00C00BE0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Supervisión administrativa y planificación de gastos.</w:t>
      </w:r>
    </w:p>
    <w:p w14:paraId="40B87D53" w14:textId="3F23E1B2" w:rsidR="006A0FCC" w:rsidRPr="00C00BE0" w:rsidRDefault="004B1901" w:rsidP="002C494C">
      <w:pPr>
        <w:pStyle w:val="ListParagraph"/>
        <w:numPr>
          <w:ilvl w:val="0"/>
          <w:numId w:val="24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Gerenciamiento de un equipo de 30 personas, y 136 </w:t>
      </w:r>
      <w:r w:rsidR="00C00BE0"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residencias</w:t>
      </w: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.</w:t>
      </w:r>
    </w:p>
    <w:p w14:paraId="45638C1A" w14:textId="77777777" w:rsidR="00C00BE0" w:rsidRPr="00C00BE0" w:rsidRDefault="006A0FCC" w:rsidP="002C494C">
      <w:pPr>
        <w:pStyle w:val="ListParagraph"/>
        <w:numPr>
          <w:ilvl w:val="0"/>
          <w:numId w:val="24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Reducción de deudas de residentes y gestión de proyectos de mejora.</w:t>
      </w:r>
    </w:p>
    <w:p w14:paraId="00AC9F97" w14:textId="1702A900" w:rsidR="006A0FCC" w:rsidRPr="00C00BE0" w:rsidRDefault="00064231" w:rsidP="002C494C">
      <w:pPr>
        <w:pStyle w:val="ListParagraph"/>
        <w:numPr>
          <w:ilvl w:val="0"/>
          <w:numId w:val="24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12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Gestión financiera con reducción de deudores de 25% a 2%.</w:t>
      </w:r>
    </w:p>
    <w:p w14:paraId="79732471" w14:textId="77777777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XXXI Olimpiada y Paralímpicos Río</w:t>
      </w:r>
    </w:p>
    <w:p w14:paraId="1CF90E18" w14:textId="55F5BC11" w:rsidR="006A0FCC" w:rsidRPr="00853D73" w:rsidRDefault="006A0FCC" w:rsidP="00205B80">
      <w:pPr>
        <w:tabs>
          <w:tab w:val="left" w:pos="595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Voluntario en el Equipo de Transporte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ab/>
        <w:t>Río de Janeiro, Brasil — Jul/2016–Oct/2016</w:t>
      </w:r>
    </w:p>
    <w:p w14:paraId="78A9A476" w14:textId="77777777" w:rsidR="00C00BE0" w:rsidRDefault="006A0FCC" w:rsidP="002C494C">
      <w:pPr>
        <w:pStyle w:val="ListParagraph"/>
        <w:numPr>
          <w:ilvl w:val="0"/>
          <w:numId w:val="25"/>
        </w:numPr>
        <w:tabs>
          <w:tab w:val="left" w:pos="6237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Coordinación y apoyo logístico para el transporte de atletas y equipos</w:t>
      </w:r>
      <w:r w:rsidR="00064231"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extranjeros del Comité Olímpico</w:t>
      </w:r>
    </w:p>
    <w:p w14:paraId="199E77B4" w14:textId="77E07306" w:rsidR="006A0FCC" w:rsidRPr="00C00BE0" w:rsidRDefault="00064231" w:rsidP="002C494C">
      <w:pPr>
        <w:pStyle w:val="ListParagraph"/>
        <w:numPr>
          <w:ilvl w:val="0"/>
          <w:numId w:val="25"/>
        </w:numPr>
        <w:tabs>
          <w:tab w:val="left" w:pos="6237"/>
          <w:tab w:val="left" w:pos="7371"/>
        </w:tabs>
        <w:autoSpaceDE w:val="0"/>
        <w:autoSpaceDN w:val="0"/>
        <w:adjustRightInd w:val="0"/>
        <w:spacing w:before="0" w:after="12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Internacional. A</w:t>
      </w:r>
      <w:r w:rsidR="00C00BE0"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sistencia</w:t>
      </w:r>
      <w:r w:rsidRPr="00C00BE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a los usuarios en inglés, en español o en francés.</w:t>
      </w:r>
    </w:p>
    <w:p w14:paraId="6F62E4B8" w14:textId="24E6BC01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Livimport Comercio de Bebidas</w:t>
      </w:r>
    </w:p>
    <w:p w14:paraId="0CC020C6" w14:textId="5A871882" w:rsidR="006A0FCC" w:rsidRPr="00853D73" w:rsidRDefault="006A0FCC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Vendedora / Sommelier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 xml:space="preserve">Río de Janeiro, Brasil — </w:t>
      </w:r>
      <w:r w:rsidR="0006423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Nov/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2014–</w:t>
      </w:r>
      <w:r w:rsidR="00064231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Abr/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2015</w:t>
      </w:r>
    </w:p>
    <w:p w14:paraId="32C60CBB" w14:textId="77777777" w:rsidR="00205B80" w:rsidRDefault="00C00BE0" w:rsidP="00F9357F">
      <w:pPr>
        <w:pStyle w:val="ListParagraph"/>
        <w:numPr>
          <w:ilvl w:val="0"/>
          <w:numId w:val="24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205B8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Venta de bebidas y planificación de servicios de bebidas para eventos.</w:t>
      </w:r>
    </w:p>
    <w:p w14:paraId="48036D45" w14:textId="6699C432" w:rsidR="00C00BE0" w:rsidRDefault="00C00BE0" w:rsidP="00F9357F">
      <w:pPr>
        <w:pStyle w:val="ListParagraph"/>
        <w:numPr>
          <w:ilvl w:val="0"/>
          <w:numId w:val="24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 w:hanging="357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205B80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lastRenderedPageBreak/>
        <w:t>Utilización de SAP.</w:t>
      </w:r>
    </w:p>
    <w:p w14:paraId="3408AC99" w14:textId="77777777" w:rsidR="005F69A0" w:rsidRPr="00205B80" w:rsidRDefault="005F69A0" w:rsidP="005F69A0">
      <w:pPr>
        <w:pStyle w:val="ListParagraph"/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714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</w:p>
    <w:p w14:paraId="7FBA9770" w14:textId="46E64EFD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 xml:space="preserve">T. Villard Fine </w:t>
      </w:r>
      <w:proofErr w:type="spellStart"/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Wines</w:t>
      </w:r>
      <w:proofErr w:type="spellEnd"/>
    </w:p>
    <w:p w14:paraId="15CE8671" w14:textId="7FD18463" w:rsidR="006A0FCC" w:rsidRPr="00853D73" w:rsidRDefault="006A0FCC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Asistente Administrativo y de Exportación 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ab/>
        <w:t>Santiago, Chile — 2011–2013</w:t>
      </w:r>
    </w:p>
    <w:p w14:paraId="5FADB852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Coordinación de toda la documentación de exportación, retiros y consolidaciones.</w:t>
      </w:r>
    </w:p>
    <w:p w14:paraId="26851029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Control de inventario de vinos y suministros.</w:t>
      </w:r>
    </w:p>
    <w:p w14:paraId="59C9BDB9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Diseño de etiquetas de acuerdo con regulaciones y países.</w:t>
      </w:r>
    </w:p>
    <w:p w14:paraId="6DD23388" w14:textId="77777777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Medcurso</w:t>
      </w:r>
    </w:p>
    <w:p w14:paraId="5DAF84A2" w14:textId="54338418" w:rsidR="006A0FCC" w:rsidRPr="00853D73" w:rsidRDefault="006A0FCC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Gerente Administrativo de Sucursales en São Paulo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São Paulo, Brasil — 2003–2005</w:t>
      </w:r>
    </w:p>
    <w:p w14:paraId="019912FA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Supervisión de un equipo de 30 participantes.</w:t>
      </w:r>
    </w:p>
    <w:p w14:paraId="58062CE2" w14:textId="6879A888" w:rsidR="006A0FCC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Control y gestión de 2,600 estudiantes en administración académica y uso de SAP.</w:t>
      </w:r>
    </w:p>
    <w:p w14:paraId="1A503458" w14:textId="4229C8B9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Restaurante y Catering Aquilo Tudo</w:t>
      </w:r>
    </w:p>
    <w:p w14:paraId="7A516704" w14:textId="1C5543C7" w:rsidR="006A0FCC" w:rsidRPr="00853D73" w:rsidRDefault="001470D0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Empresaria/ Gerente General</w:t>
      </w:r>
      <w:r w:rsidR="006A0FCC"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São Paulo, Brasil — 1993–2006</w:t>
      </w:r>
    </w:p>
    <w:p w14:paraId="1CC84D38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Innovación en inclusión laboral, creación de un programa de fidelización de clientes y gestión de eventos.</w:t>
      </w:r>
    </w:p>
    <w:p w14:paraId="03DDF19D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Gestión de 6 empleados y servicio a hasta 400 personas.</w:t>
      </w:r>
    </w:p>
    <w:p w14:paraId="7100847F" w14:textId="6663F573" w:rsidR="006A0FCC" w:rsidRPr="00853D73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Oft-Med – Clínica de Oftalmología</w:t>
      </w:r>
    </w:p>
    <w:p w14:paraId="4A7E2D52" w14:textId="3B02A5A6" w:rsidR="006A0FCC" w:rsidRPr="00853D73" w:rsidRDefault="006A0FCC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Gerente Administrativa</w:t>
      </w:r>
      <w:r w:rsidRPr="00853D73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São Paulo, Brasil — 1992–2004</w:t>
      </w:r>
    </w:p>
    <w:p w14:paraId="1B4B89ED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Supervisión de operaciones administrativas y mejoras de procesos.</w:t>
      </w:r>
    </w:p>
    <w:p w14:paraId="3BF7142D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Automatización de procesos.</w:t>
      </w:r>
    </w:p>
    <w:p w14:paraId="10CDDC57" w14:textId="698046A4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Capacitación en EE. UU</w:t>
      </w:r>
      <w:r w:rsidR="005C3B5A">
        <w:rPr>
          <w:rFonts w:ascii="Tahoma" w:hAnsi="Tahoma" w:cs="Tahoma"/>
          <w:color w:val="auto"/>
          <w:sz w:val="20"/>
          <w:lang w:val="es-CL"/>
        </w:rPr>
        <w:t xml:space="preserve"> en ofimática</w:t>
      </w:r>
      <w:r w:rsidRPr="00C00BE0">
        <w:rPr>
          <w:rFonts w:ascii="Tahoma" w:hAnsi="Tahoma" w:cs="Tahoma"/>
          <w:color w:val="auto"/>
          <w:sz w:val="20"/>
          <w:lang w:val="es-CL"/>
        </w:rPr>
        <w:t>.</w:t>
      </w:r>
    </w:p>
    <w:p w14:paraId="448AAEDA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Gestión financiera, pagos y control de stock.</w:t>
      </w:r>
    </w:p>
    <w:p w14:paraId="14DB48B6" w14:textId="1762B258" w:rsidR="001470D0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Traducción de material informativo del inglés al portugués.</w:t>
      </w:r>
    </w:p>
    <w:p w14:paraId="64C329AB" w14:textId="77777777" w:rsidR="006A0FCC" w:rsidRPr="005C3B5A" w:rsidRDefault="006A0FCC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5C3B5A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Asthon-Tate/Borland – Datalogica</w:t>
      </w:r>
    </w:p>
    <w:p w14:paraId="7AC990B2" w14:textId="4DFF80FF" w:rsidR="006A0FCC" w:rsidRPr="005C3B5A" w:rsidRDefault="006A0FCC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Gerente de Soporte Técnico</w:t>
      </w: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São Paulo, Brasil — 1989–1994</w:t>
      </w:r>
    </w:p>
    <w:p w14:paraId="14F96C55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Recibió el premio al Mejor Servicio de Soporte y participó en el desarrollo de productos.</w:t>
      </w:r>
    </w:p>
    <w:p w14:paraId="3FBDC502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Gestión de un equipo de 10 personas.</w:t>
      </w:r>
    </w:p>
    <w:p w14:paraId="6E3BA62E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Adaptación y traducción de material técnico del inglés al portugués.</w:t>
      </w:r>
    </w:p>
    <w:p w14:paraId="0163255B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 xml:space="preserve">Participación en el equipo de desarrollo y soporte de </w:t>
      </w:r>
      <w:proofErr w:type="spellStart"/>
      <w:r w:rsidRPr="00C00BE0">
        <w:rPr>
          <w:rFonts w:ascii="Tahoma" w:hAnsi="Tahoma" w:cs="Tahoma"/>
          <w:color w:val="auto"/>
          <w:sz w:val="20"/>
          <w:lang w:val="es-CL"/>
        </w:rPr>
        <w:t>dBASE</w:t>
      </w:r>
      <w:proofErr w:type="spellEnd"/>
      <w:r w:rsidRPr="00C00BE0">
        <w:rPr>
          <w:rFonts w:ascii="Tahoma" w:hAnsi="Tahoma" w:cs="Tahoma"/>
          <w:color w:val="auto"/>
          <w:sz w:val="20"/>
          <w:lang w:val="es-CL"/>
        </w:rPr>
        <w:t xml:space="preserve"> IV, Framework, Quattro, </w:t>
      </w:r>
      <w:proofErr w:type="spellStart"/>
      <w:r w:rsidRPr="00C00BE0">
        <w:rPr>
          <w:rFonts w:ascii="Tahoma" w:hAnsi="Tahoma" w:cs="Tahoma"/>
          <w:color w:val="auto"/>
          <w:sz w:val="20"/>
          <w:lang w:val="es-CL"/>
        </w:rPr>
        <w:t>Paradox</w:t>
      </w:r>
      <w:proofErr w:type="spellEnd"/>
      <w:r w:rsidRPr="00C00BE0">
        <w:rPr>
          <w:rFonts w:ascii="Tahoma" w:hAnsi="Tahoma" w:cs="Tahoma"/>
          <w:color w:val="auto"/>
          <w:sz w:val="20"/>
          <w:lang w:val="es-CL"/>
        </w:rPr>
        <w:t xml:space="preserve">, C, y proyecto de comunicación de datos X-25 con </w:t>
      </w:r>
      <w:proofErr w:type="spellStart"/>
      <w:r w:rsidRPr="00C00BE0">
        <w:rPr>
          <w:rFonts w:ascii="Tahoma" w:hAnsi="Tahoma" w:cs="Tahoma"/>
          <w:color w:val="auto"/>
          <w:sz w:val="20"/>
          <w:lang w:val="es-CL"/>
        </w:rPr>
        <w:t>Embratel</w:t>
      </w:r>
      <w:proofErr w:type="spellEnd"/>
      <w:r w:rsidRPr="00C00BE0">
        <w:rPr>
          <w:rFonts w:ascii="Tahoma" w:hAnsi="Tahoma" w:cs="Tahoma"/>
          <w:color w:val="auto"/>
          <w:sz w:val="20"/>
          <w:lang w:val="es-CL"/>
        </w:rPr>
        <w:t>.</w:t>
      </w:r>
    </w:p>
    <w:p w14:paraId="76E26690" w14:textId="0130FCB6" w:rsidR="00350969" w:rsidRPr="00205B80" w:rsidRDefault="00350969" w:rsidP="004B1901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205B80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Bull – ABC Computadores</w:t>
      </w:r>
    </w:p>
    <w:p w14:paraId="03DB6BEA" w14:textId="016C8B9F" w:rsidR="00205B80" w:rsidRPr="00205B80" w:rsidRDefault="00350969" w:rsidP="00205B80">
      <w:pPr>
        <w:tabs>
          <w:tab w:val="left" w:pos="5954"/>
          <w:tab w:val="left" w:pos="6804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Analista de Producto Senior</w:t>
      </w:r>
      <w:r w:rsidR="00205B80" w:rsidRP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ab/>
        <w:t>São Paulo, Brasil — 198</w:t>
      </w:r>
      <w:r w:rsid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7</w:t>
      </w:r>
      <w:r w:rsidR="00205B80" w:rsidRP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–19</w:t>
      </w:r>
      <w:r w:rsid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89</w:t>
      </w:r>
    </w:p>
    <w:p w14:paraId="40920AFA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Responsable de sistemas de automatización de oficinas.</w:t>
      </w:r>
    </w:p>
    <w:p w14:paraId="3DBBDF2E" w14:textId="77777777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>Redes de datos entre sistemas micro, mini y mainframe.</w:t>
      </w:r>
    </w:p>
    <w:p w14:paraId="6A204CFE" w14:textId="285D32DF" w:rsidR="00C00BE0" w:rsidRPr="00C00BE0" w:rsidRDefault="00C00BE0" w:rsidP="002C494C">
      <w:pPr>
        <w:pStyle w:val="ListParagraph"/>
        <w:numPr>
          <w:ilvl w:val="0"/>
          <w:numId w:val="27"/>
        </w:numPr>
        <w:spacing w:before="0" w:after="120"/>
        <w:ind w:left="850" w:hanging="357"/>
        <w:rPr>
          <w:rFonts w:ascii="Tahoma" w:hAnsi="Tahoma" w:cs="Tahoma"/>
          <w:color w:val="auto"/>
          <w:sz w:val="20"/>
          <w:lang w:val="es-CL"/>
        </w:rPr>
      </w:pPr>
      <w:r w:rsidRPr="00C00BE0">
        <w:rPr>
          <w:rFonts w:ascii="Tahoma" w:hAnsi="Tahoma" w:cs="Tahoma"/>
          <w:color w:val="auto"/>
          <w:sz w:val="20"/>
          <w:lang w:val="es-CL"/>
        </w:rPr>
        <w:t xml:space="preserve">Participación en licitaciones. Proyecto ganador para </w:t>
      </w:r>
      <w:proofErr w:type="spellStart"/>
      <w:r w:rsidRPr="00C00BE0">
        <w:rPr>
          <w:rFonts w:ascii="Tahoma" w:hAnsi="Tahoma" w:cs="Tahoma"/>
          <w:color w:val="auto"/>
          <w:sz w:val="20"/>
          <w:lang w:val="es-CL"/>
        </w:rPr>
        <w:t>Telemig</w:t>
      </w:r>
      <w:proofErr w:type="spellEnd"/>
      <w:r w:rsidRPr="00C00BE0">
        <w:rPr>
          <w:rFonts w:ascii="Tahoma" w:hAnsi="Tahoma" w:cs="Tahoma"/>
          <w:color w:val="auto"/>
          <w:sz w:val="20"/>
          <w:lang w:val="es-CL"/>
        </w:rPr>
        <w:t>.</w:t>
      </w:r>
    </w:p>
    <w:p w14:paraId="6855BA06" w14:textId="77777777" w:rsidR="005F69A0" w:rsidRPr="005C3B5A" w:rsidRDefault="005F69A0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</w:p>
    <w:p w14:paraId="4EEAF5F6" w14:textId="79345960" w:rsidR="006A0FCC" w:rsidRPr="002C494C" w:rsidRDefault="00350969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</w:pPr>
      <w:r w:rsidRPr="002C494C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FORMACIÓN</w:t>
      </w:r>
      <w:r w:rsidR="006A0FCC" w:rsidRPr="002C494C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 xml:space="preserve"> ACADÉMIC</w:t>
      </w:r>
      <w:r w:rsidRPr="002C494C">
        <w:rPr>
          <w:rFonts w:ascii="Tahoma" w:eastAsia="Calibri" w:hAnsi="Tahoma" w:cs="Tahoma"/>
          <w:b/>
          <w:color w:val="000000"/>
          <w:kern w:val="0"/>
          <w:sz w:val="20"/>
          <w:lang w:val="pt-BR" w:eastAsia="en-US"/>
        </w:rPr>
        <w:t>A</w:t>
      </w:r>
    </w:p>
    <w:p w14:paraId="4C83CC92" w14:textId="5DAAB5E1" w:rsidR="006A0FCC" w:rsidRPr="002C494C" w:rsidRDefault="006A0FCC" w:rsidP="002C494C">
      <w:pPr>
        <w:pStyle w:val="ListParagraph"/>
        <w:numPr>
          <w:ilvl w:val="0"/>
          <w:numId w:val="33"/>
        </w:numPr>
        <w:tabs>
          <w:tab w:val="left" w:pos="3969"/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Posgrado Análisis de Sistemas</w:t>
      </w:r>
      <w:r w:rsid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 - </w:t>
      </w: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Faculdade Administração S</w:t>
      </w:r>
      <w:r w:rsidR="00205B80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.</w:t>
      </w: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Paulo (FASP), São Paulo, Brasil — 1987–1998</w:t>
      </w:r>
    </w:p>
    <w:p w14:paraId="354E1297" w14:textId="08D367B0" w:rsidR="006A0FCC" w:rsidRPr="002C494C" w:rsidRDefault="006A0FCC" w:rsidP="002C494C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Técnico en Procesamiento de Datos (TI)</w:t>
      </w:r>
      <w:r w:rsidR="002C494C"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- </w:t>
      </w: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Universidade Mackenzie, São Paulo, Brasil — 1984–1987</w:t>
      </w:r>
    </w:p>
    <w:p w14:paraId="24FC8683" w14:textId="2242C1F9" w:rsidR="006A0FCC" w:rsidRPr="002C494C" w:rsidRDefault="006A0FCC" w:rsidP="002C494C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Administración de Empresas </w:t>
      </w:r>
      <w:r w:rsidR="002C494C"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- </w:t>
      </w: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Universidade Mackenzie, São Paulo, Brasil — 1984–1987</w:t>
      </w:r>
      <w:r w:rsidR="002C494C" w:rsidRPr="002C494C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 (Incompleto)</w:t>
      </w:r>
    </w:p>
    <w:p w14:paraId="013A4065" w14:textId="10BFDF78" w:rsidR="006A0FCC" w:rsidRPr="002C494C" w:rsidRDefault="006A0FCC" w:rsidP="002C494C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Técnico en Desarrollo de Programas</w:t>
      </w:r>
      <w:r w:rsidR="002C494C"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- </w:t>
      </w:r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Colegio </w:t>
      </w:r>
      <w:proofErr w:type="spellStart"/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Pueri</w:t>
      </w:r>
      <w:proofErr w:type="spellEnd"/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</w:t>
      </w:r>
      <w:proofErr w:type="spellStart"/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Domus</w:t>
      </w:r>
      <w:proofErr w:type="spellEnd"/>
      <w:r w:rsidRPr="002C494C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, São Paulo, Brasil — 1981–1983</w:t>
      </w:r>
    </w:p>
    <w:p w14:paraId="781E799A" w14:textId="77777777" w:rsidR="005F69A0" w:rsidRDefault="005F69A0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</w:p>
    <w:p w14:paraId="6766D1E6" w14:textId="3BCE65A7" w:rsidR="00350969" w:rsidRPr="00853D73" w:rsidRDefault="00350969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FORMACIÓN COMPLEMENTARIA</w:t>
      </w:r>
    </w:p>
    <w:p w14:paraId="2C31D6B9" w14:textId="5F34457C" w:rsidR="002C494C" w:rsidRDefault="002C494C" w:rsidP="005C3B5A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Curso de Contabilidad Básica — FEN – Universidad de Chile, Santiago, Chile —</w:t>
      </w:r>
      <w:r w:rsid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 </w:t>
      </w: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2024</w:t>
      </w:r>
    </w:p>
    <w:p w14:paraId="739265FE" w14:textId="77777777" w:rsidR="005C3B5A" w:rsidRPr="005C3B5A" w:rsidRDefault="005C3B5A" w:rsidP="005C3B5A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Curso de Contabilidad Aplicada — SERCOTEC, Santiago, Chile — 2024</w:t>
      </w:r>
    </w:p>
    <w:p w14:paraId="735A8AF9" w14:textId="77E62F52" w:rsidR="005C3B5A" w:rsidRDefault="005C3B5A" w:rsidP="005C3B5A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Curso de Gestión Financiera </w:t>
      </w:r>
      <w:r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–</w:t>
      </w: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 xml:space="preserve"> S</w:t>
      </w:r>
      <w:r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ERCOTEC, Santiago, Chile – 2024</w:t>
      </w:r>
    </w:p>
    <w:p w14:paraId="0F074224" w14:textId="36777DC7" w:rsidR="002C494C" w:rsidRPr="005C3B5A" w:rsidRDefault="002C494C" w:rsidP="005C3B5A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Curso de Diseño de Bases de Datos — Instituto Praxis/SENCE, Santiago, Chile — i</w:t>
      </w:r>
      <w:r w:rsid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nscrita, </w:t>
      </w:r>
      <w:r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2024</w:t>
      </w:r>
    </w:p>
    <w:p w14:paraId="0813335B" w14:textId="2B445A5F" w:rsidR="002C494C" w:rsidRPr="005C3B5A" w:rsidRDefault="00516972" w:rsidP="005C3B5A">
      <w:pPr>
        <w:pStyle w:val="ListParagraph"/>
        <w:numPr>
          <w:ilvl w:val="0"/>
          <w:numId w:val="33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</w:pPr>
      <w:r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 xml:space="preserve">Curso </w:t>
      </w:r>
      <w:r w:rsidR="002C494C" w:rsidRPr="005C3B5A">
        <w:rPr>
          <w:rFonts w:ascii="Tahoma" w:eastAsia="Calibri" w:hAnsi="Tahoma" w:cs="Tahoma"/>
          <w:bCs/>
          <w:color w:val="000000"/>
          <w:kern w:val="0"/>
          <w:sz w:val="20"/>
          <w:lang w:val="pt-BR" w:eastAsia="en-US"/>
        </w:rPr>
        <w:t>en Técnicas de Comercio Exterior — Universidad Católica (UC), Santiago, Chile — 2021</w:t>
      </w:r>
    </w:p>
    <w:p w14:paraId="6781D2E5" w14:textId="77777777" w:rsidR="005F69A0" w:rsidRDefault="005F69A0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</w:p>
    <w:p w14:paraId="4B721E01" w14:textId="442C0327" w:rsidR="006A0FCC" w:rsidRPr="00853D73" w:rsidRDefault="006A0FCC" w:rsidP="005F69A0">
      <w:p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left="0" w:right="0"/>
        <w:mirrorIndents/>
        <w:jc w:val="both"/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</w:pPr>
      <w:r w:rsidRPr="00853D73">
        <w:rPr>
          <w:rFonts w:ascii="Tahoma" w:eastAsia="Calibri" w:hAnsi="Tahoma" w:cs="Tahoma"/>
          <w:b/>
          <w:color w:val="000000"/>
          <w:kern w:val="0"/>
          <w:sz w:val="20"/>
          <w:lang w:val="es-CL" w:eastAsia="en-US"/>
        </w:rPr>
        <w:t>IDIOMAS</w:t>
      </w:r>
    </w:p>
    <w:p w14:paraId="196ED1D2" w14:textId="77777777" w:rsidR="005C3B5A" w:rsidRPr="00051E19" w:rsidRDefault="005C3B5A" w:rsidP="005C3B5A">
      <w:pPr>
        <w:pStyle w:val="ListParagraph"/>
        <w:numPr>
          <w:ilvl w:val="0"/>
          <w:numId w:val="35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051E19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Español: Fluido</w:t>
      </w:r>
    </w:p>
    <w:p w14:paraId="4B7428E0" w14:textId="77777777" w:rsidR="005C3B5A" w:rsidRPr="00051E19" w:rsidRDefault="005C3B5A" w:rsidP="005C3B5A">
      <w:pPr>
        <w:pStyle w:val="ListParagraph"/>
        <w:numPr>
          <w:ilvl w:val="0"/>
          <w:numId w:val="35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051E19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Inglés: Fluido/Avanzado</w:t>
      </w:r>
    </w:p>
    <w:p w14:paraId="4250ED12" w14:textId="77777777" w:rsidR="005C3B5A" w:rsidRPr="00051E19" w:rsidRDefault="005C3B5A" w:rsidP="005C3B5A">
      <w:pPr>
        <w:pStyle w:val="ListParagraph"/>
        <w:numPr>
          <w:ilvl w:val="0"/>
          <w:numId w:val="35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051E19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Portugués: Nativo</w:t>
      </w:r>
    </w:p>
    <w:p w14:paraId="35A3A142" w14:textId="77777777" w:rsidR="005C3B5A" w:rsidRPr="002C494C" w:rsidRDefault="005C3B5A" w:rsidP="005C3B5A">
      <w:pPr>
        <w:pStyle w:val="ListParagraph"/>
        <w:numPr>
          <w:ilvl w:val="0"/>
          <w:numId w:val="35"/>
        </w:numPr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  <w:r w:rsidRPr="00051E19"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  <w:t>Francés: Intermedio</w:t>
      </w:r>
    </w:p>
    <w:p w14:paraId="3F101565" w14:textId="08A412B8" w:rsidR="006A0FCC" w:rsidRPr="002C494C" w:rsidRDefault="006A0FCC" w:rsidP="005C3B5A">
      <w:pPr>
        <w:pStyle w:val="ListParagraph"/>
        <w:tabs>
          <w:tab w:val="left" w:pos="6663"/>
          <w:tab w:val="left" w:pos="7371"/>
        </w:tabs>
        <w:autoSpaceDE w:val="0"/>
        <w:autoSpaceDN w:val="0"/>
        <w:adjustRightInd w:val="0"/>
        <w:spacing w:before="0" w:after="0"/>
        <w:ind w:right="0"/>
        <w:mirrorIndents/>
        <w:jc w:val="both"/>
        <w:rPr>
          <w:rFonts w:ascii="Tahoma" w:eastAsia="Calibri" w:hAnsi="Tahoma" w:cs="Tahoma"/>
          <w:bCs/>
          <w:color w:val="000000"/>
          <w:kern w:val="0"/>
          <w:sz w:val="20"/>
          <w:lang w:val="es-CL" w:eastAsia="en-US"/>
        </w:rPr>
      </w:pPr>
    </w:p>
    <w:sectPr w:rsidR="006A0FCC" w:rsidRPr="002C494C" w:rsidSect="002C494C">
      <w:headerReference w:type="default" r:id="rId12"/>
      <w:pgSz w:w="12240" w:h="15840" w:code="1"/>
      <w:pgMar w:top="720" w:right="1325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338DA" w14:textId="77777777" w:rsidR="001A324A" w:rsidRDefault="001A324A" w:rsidP="00A66B18">
      <w:pPr>
        <w:spacing w:before="0" w:after="0"/>
      </w:pPr>
      <w:r>
        <w:separator/>
      </w:r>
    </w:p>
  </w:endnote>
  <w:endnote w:type="continuationSeparator" w:id="0">
    <w:p w14:paraId="234EC3C5" w14:textId="77777777" w:rsidR="001A324A" w:rsidRDefault="001A324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51DD6" w14:textId="77777777" w:rsidR="001A324A" w:rsidRDefault="001A324A" w:rsidP="00A66B18">
      <w:pPr>
        <w:spacing w:before="0" w:after="0"/>
      </w:pPr>
      <w:r>
        <w:separator/>
      </w:r>
    </w:p>
  </w:footnote>
  <w:footnote w:type="continuationSeparator" w:id="0">
    <w:p w14:paraId="279141BB" w14:textId="77777777" w:rsidR="001A324A" w:rsidRDefault="001A324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A5B56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4E22D5" wp14:editId="046067E5">
              <wp:simplePos x="0" y="0"/>
              <wp:positionH relativeFrom="page">
                <wp:align>left</wp:align>
              </wp:positionH>
              <wp:positionV relativeFrom="paragraph">
                <wp:posOffset>-457199</wp:posOffset>
              </wp:positionV>
              <wp:extent cx="8248650" cy="1781175"/>
              <wp:effectExtent l="0" t="0" r="0" b="9525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781175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2907D3" id="Graphic 17" o:spid="_x0000_s1026" alt="Curved accent shapes that collectively build the header design" style="position:absolute;margin-left:0;margin-top:-36pt;width:649.5pt;height:140.2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eCJg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F39"/>
    <w:multiLevelType w:val="hybridMultilevel"/>
    <w:tmpl w:val="48429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6B7"/>
    <w:multiLevelType w:val="hybridMultilevel"/>
    <w:tmpl w:val="4C887B5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1524"/>
    <w:multiLevelType w:val="hybridMultilevel"/>
    <w:tmpl w:val="7C3ED61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42769"/>
    <w:multiLevelType w:val="multilevel"/>
    <w:tmpl w:val="573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33003"/>
    <w:multiLevelType w:val="multilevel"/>
    <w:tmpl w:val="569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D703C"/>
    <w:multiLevelType w:val="hybridMultilevel"/>
    <w:tmpl w:val="F354A70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33B"/>
    <w:multiLevelType w:val="hybridMultilevel"/>
    <w:tmpl w:val="10C49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4A3"/>
    <w:multiLevelType w:val="hybridMultilevel"/>
    <w:tmpl w:val="046E506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39A34"/>
    <w:multiLevelType w:val="hybridMultilevel"/>
    <w:tmpl w:val="85AA77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426D30"/>
    <w:multiLevelType w:val="hybridMultilevel"/>
    <w:tmpl w:val="AB3811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00259"/>
    <w:multiLevelType w:val="multilevel"/>
    <w:tmpl w:val="7EC4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E3A2F"/>
    <w:multiLevelType w:val="hybridMultilevel"/>
    <w:tmpl w:val="C9EACDF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40DB8"/>
    <w:multiLevelType w:val="hybridMultilevel"/>
    <w:tmpl w:val="029EB5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31704"/>
    <w:multiLevelType w:val="hybridMultilevel"/>
    <w:tmpl w:val="37EE145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25D9B"/>
    <w:multiLevelType w:val="hybridMultilevel"/>
    <w:tmpl w:val="940653A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034DE"/>
    <w:multiLevelType w:val="multilevel"/>
    <w:tmpl w:val="AFE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92581"/>
    <w:multiLevelType w:val="hybridMultilevel"/>
    <w:tmpl w:val="03D69D3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6754B"/>
    <w:multiLevelType w:val="hybridMultilevel"/>
    <w:tmpl w:val="966A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F4169"/>
    <w:multiLevelType w:val="multilevel"/>
    <w:tmpl w:val="56D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52611"/>
    <w:multiLevelType w:val="multilevel"/>
    <w:tmpl w:val="07F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233B3B"/>
    <w:multiLevelType w:val="multilevel"/>
    <w:tmpl w:val="23E8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37E38"/>
    <w:multiLevelType w:val="hybridMultilevel"/>
    <w:tmpl w:val="18EC88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E2E7B"/>
    <w:multiLevelType w:val="multilevel"/>
    <w:tmpl w:val="CAD0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C1470"/>
    <w:multiLevelType w:val="multilevel"/>
    <w:tmpl w:val="621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E5693"/>
    <w:multiLevelType w:val="hybridMultilevel"/>
    <w:tmpl w:val="FC1441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D5908"/>
    <w:multiLevelType w:val="hybridMultilevel"/>
    <w:tmpl w:val="83E098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831AF"/>
    <w:multiLevelType w:val="hybridMultilevel"/>
    <w:tmpl w:val="66846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637A7"/>
    <w:multiLevelType w:val="hybridMultilevel"/>
    <w:tmpl w:val="81121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7051"/>
    <w:multiLevelType w:val="hybridMultilevel"/>
    <w:tmpl w:val="2E86311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2D22"/>
    <w:multiLevelType w:val="multilevel"/>
    <w:tmpl w:val="3B7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43F93"/>
    <w:multiLevelType w:val="hybridMultilevel"/>
    <w:tmpl w:val="7A70A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0C73"/>
    <w:multiLevelType w:val="hybridMultilevel"/>
    <w:tmpl w:val="6D889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44372"/>
    <w:multiLevelType w:val="multilevel"/>
    <w:tmpl w:val="6CEE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71759"/>
    <w:multiLevelType w:val="multilevel"/>
    <w:tmpl w:val="CBCC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311850"/>
    <w:multiLevelType w:val="multilevel"/>
    <w:tmpl w:val="F298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B551B"/>
    <w:multiLevelType w:val="hybridMultilevel"/>
    <w:tmpl w:val="6520F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54BAE"/>
    <w:multiLevelType w:val="hybridMultilevel"/>
    <w:tmpl w:val="4208B18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31"/>
  </w:num>
  <w:num w:numId="5">
    <w:abstractNumId w:val="35"/>
  </w:num>
  <w:num w:numId="6">
    <w:abstractNumId w:val="30"/>
  </w:num>
  <w:num w:numId="7">
    <w:abstractNumId w:val="0"/>
  </w:num>
  <w:num w:numId="8">
    <w:abstractNumId w:val="29"/>
  </w:num>
  <w:num w:numId="9">
    <w:abstractNumId w:val="23"/>
  </w:num>
  <w:num w:numId="10">
    <w:abstractNumId w:val="15"/>
  </w:num>
  <w:num w:numId="11">
    <w:abstractNumId w:val="19"/>
  </w:num>
  <w:num w:numId="12">
    <w:abstractNumId w:val="32"/>
  </w:num>
  <w:num w:numId="13">
    <w:abstractNumId w:val="22"/>
  </w:num>
  <w:num w:numId="14">
    <w:abstractNumId w:val="4"/>
  </w:num>
  <w:num w:numId="15">
    <w:abstractNumId w:val="34"/>
  </w:num>
  <w:num w:numId="16">
    <w:abstractNumId w:val="3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27"/>
  </w:num>
  <w:num w:numId="22">
    <w:abstractNumId w:val="5"/>
  </w:num>
  <w:num w:numId="23">
    <w:abstractNumId w:val="1"/>
  </w:num>
  <w:num w:numId="24">
    <w:abstractNumId w:val="28"/>
  </w:num>
  <w:num w:numId="25">
    <w:abstractNumId w:val="11"/>
  </w:num>
  <w:num w:numId="26">
    <w:abstractNumId w:val="7"/>
  </w:num>
  <w:num w:numId="27">
    <w:abstractNumId w:val="2"/>
  </w:num>
  <w:num w:numId="28">
    <w:abstractNumId w:val="13"/>
  </w:num>
  <w:num w:numId="29">
    <w:abstractNumId w:val="16"/>
  </w:num>
  <w:num w:numId="30">
    <w:abstractNumId w:val="25"/>
  </w:num>
  <w:num w:numId="31">
    <w:abstractNumId w:val="9"/>
  </w:num>
  <w:num w:numId="32">
    <w:abstractNumId w:val="12"/>
  </w:num>
  <w:num w:numId="33">
    <w:abstractNumId w:val="21"/>
  </w:num>
  <w:num w:numId="34">
    <w:abstractNumId w:val="14"/>
  </w:num>
  <w:num w:numId="35">
    <w:abstractNumId w:val="36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46"/>
    <w:rsid w:val="00010F88"/>
    <w:rsid w:val="00023FB6"/>
    <w:rsid w:val="00064231"/>
    <w:rsid w:val="00066E24"/>
    <w:rsid w:val="00083BAA"/>
    <w:rsid w:val="000A5EEF"/>
    <w:rsid w:val="000A7F04"/>
    <w:rsid w:val="000C125D"/>
    <w:rsid w:val="0010680C"/>
    <w:rsid w:val="00112DE3"/>
    <w:rsid w:val="001470D0"/>
    <w:rsid w:val="00152B0B"/>
    <w:rsid w:val="001621D1"/>
    <w:rsid w:val="001766D6"/>
    <w:rsid w:val="001876F6"/>
    <w:rsid w:val="00192419"/>
    <w:rsid w:val="00196346"/>
    <w:rsid w:val="001A324A"/>
    <w:rsid w:val="001C16EE"/>
    <w:rsid w:val="001C270D"/>
    <w:rsid w:val="001C69DF"/>
    <w:rsid w:val="001D637C"/>
    <w:rsid w:val="001D6FFB"/>
    <w:rsid w:val="001E2320"/>
    <w:rsid w:val="001E40D7"/>
    <w:rsid w:val="001F0CB2"/>
    <w:rsid w:val="002009A6"/>
    <w:rsid w:val="00203476"/>
    <w:rsid w:val="00205B80"/>
    <w:rsid w:val="00214E28"/>
    <w:rsid w:val="0022490F"/>
    <w:rsid w:val="00247397"/>
    <w:rsid w:val="002726E6"/>
    <w:rsid w:val="00276FC8"/>
    <w:rsid w:val="00291442"/>
    <w:rsid w:val="002A0B2B"/>
    <w:rsid w:val="002B44C0"/>
    <w:rsid w:val="002C4458"/>
    <w:rsid w:val="002C494C"/>
    <w:rsid w:val="00340227"/>
    <w:rsid w:val="00347F73"/>
    <w:rsid w:val="00350969"/>
    <w:rsid w:val="00352B81"/>
    <w:rsid w:val="00372191"/>
    <w:rsid w:val="0039424F"/>
    <w:rsid w:val="00394757"/>
    <w:rsid w:val="003A0150"/>
    <w:rsid w:val="003B0A9E"/>
    <w:rsid w:val="003D5EFD"/>
    <w:rsid w:val="003E24DF"/>
    <w:rsid w:val="00412529"/>
    <w:rsid w:val="0041428F"/>
    <w:rsid w:val="00414A99"/>
    <w:rsid w:val="00417B32"/>
    <w:rsid w:val="004557ED"/>
    <w:rsid w:val="0046391C"/>
    <w:rsid w:val="00485E1A"/>
    <w:rsid w:val="004A0420"/>
    <w:rsid w:val="004A2B0D"/>
    <w:rsid w:val="004B1901"/>
    <w:rsid w:val="004B63E3"/>
    <w:rsid w:val="004D15FE"/>
    <w:rsid w:val="00512960"/>
    <w:rsid w:val="00516972"/>
    <w:rsid w:val="00596370"/>
    <w:rsid w:val="005B2467"/>
    <w:rsid w:val="005C2210"/>
    <w:rsid w:val="005C3B5A"/>
    <w:rsid w:val="005F69A0"/>
    <w:rsid w:val="00610814"/>
    <w:rsid w:val="00615018"/>
    <w:rsid w:val="0062123A"/>
    <w:rsid w:val="00631EB2"/>
    <w:rsid w:val="00633BEA"/>
    <w:rsid w:val="00634C4B"/>
    <w:rsid w:val="0064538D"/>
    <w:rsid w:val="00646E75"/>
    <w:rsid w:val="006476CF"/>
    <w:rsid w:val="00650B61"/>
    <w:rsid w:val="0066316D"/>
    <w:rsid w:val="006845FB"/>
    <w:rsid w:val="006922AF"/>
    <w:rsid w:val="0069734E"/>
    <w:rsid w:val="006A0FCC"/>
    <w:rsid w:val="006B53A0"/>
    <w:rsid w:val="006C2537"/>
    <w:rsid w:val="006D2C90"/>
    <w:rsid w:val="006F6F10"/>
    <w:rsid w:val="0071323F"/>
    <w:rsid w:val="00772C88"/>
    <w:rsid w:val="00775A68"/>
    <w:rsid w:val="00776EC4"/>
    <w:rsid w:val="00783E79"/>
    <w:rsid w:val="00783F8B"/>
    <w:rsid w:val="007B5AE8"/>
    <w:rsid w:val="007D20EC"/>
    <w:rsid w:val="007D69A1"/>
    <w:rsid w:val="007F5192"/>
    <w:rsid w:val="00810487"/>
    <w:rsid w:val="00827219"/>
    <w:rsid w:val="008278B1"/>
    <w:rsid w:val="008347E3"/>
    <w:rsid w:val="00842FF1"/>
    <w:rsid w:val="0085298C"/>
    <w:rsid w:val="00853943"/>
    <w:rsid w:val="00853D73"/>
    <w:rsid w:val="00891DEC"/>
    <w:rsid w:val="008B6A1B"/>
    <w:rsid w:val="008D3A44"/>
    <w:rsid w:val="009205D3"/>
    <w:rsid w:val="00933462"/>
    <w:rsid w:val="00940704"/>
    <w:rsid w:val="0094403C"/>
    <w:rsid w:val="00955CAF"/>
    <w:rsid w:val="009570C6"/>
    <w:rsid w:val="0098294C"/>
    <w:rsid w:val="009A7381"/>
    <w:rsid w:val="009D3A37"/>
    <w:rsid w:val="00A13D46"/>
    <w:rsid w:val="00A26FE7"/>
    <w:rsid w:val="00A669AA"/>
    <w:rsid w:val="00A66B18"/>
    <w:rsid w:val="00A6783B"/>
    <w:rsid w:val="00A96CF8"/>
    <w:rsid w:val="00AA089B"/>
    <w:rsid w:val="00AB259C"/>
    <w:rsid w:val="00AB56E1"/>
    <w:rsid w:val="00AE1388"/>
    <w:rsid w:val="00AF3982"/>
    <w:rsid w:val="00B207D4"/>
    <w:rsid w:val="00B46BF9"/>
    <w:rsid w:val="00B50294"/>
    <w:rsid w:val="00B57D6E"/>
    <w:rsid w:val="00B613F0"/>
    <w:rsid w:val="00B8429C"/>
    <w:rsid w:val="00BB156C"/>
    <w:rsid w:val="00BC14E2"/>
    <w:rsid w:val="00BD5343"/>
    <w:rsid w:val="00BE496D"/>
    <w:rsid w:val="00BE5793"/>
    <w:rsid w:val="00BE7D78"/>
    <w:rsid w:val="00BF2FBD"/>
    <w:rsid w:val="00C00BE0"/>
    <w:rsid w:val="00C04B75"/>
    <w:rsid w:val="00C40344"/>
    <w:rsid w:val="00C701F7"/>
    <w:rsid w:val="00C70786"/>
    <w:rsid w:val="00C9040F"/>
    <w:rsid w:val="00C9652C"/>
    <w:rsid w:val="00CA294B"/>
    <w:rsid w:val="00CD1F72"/>
    <w:rsid w:val="00CD30C8"/>
    <w:rsid w:val="00D10958"/>
    <w:rsid w:val="00D24AAB"/>
    <w:rsid w:val="00D3736F"/>
    <w:rsid w:val="00D439F6"/>
    <w:rsid w:val="00D515B3"/>
    <w:rsid w:val="00D5672C"/>
    <w:rsid w:val="00D6093A"/>
    <w:rsid w:val="00D66593"/>
    <w:rsid w:val="00D672E5"/>
    <w:rsid w:val="00D904C3"/>
    <w:rsid w:val="00DA1CBE"/>
    <w:rsid w:val="00DB3ACC"/>
    <w:rsid w:val="00DC21DD"/>
    <w:rsid w:val="00DD79CA"/>
    <w:rsid w:val="00DE6206"/>
    <w:rsid w:val="00DE6DA2"/>
    <w:rsid w:val="00DF0B3A"/>
    <w:rsid w:val="00DF2D30"/>
    <w:rsid w:val="00E31AFC"/>
    <w:rsid w:val="00E4786A"/>
    <w:rsid w:val="00E55D74"/>
    <w:rsid w:val="00E6540C"/>
    <w:rsid w:val="00E81E2A"/>
    <w:rsid w:val="00E92064"/>
    <w:rsid w:val="00EA02F1"/>
    <w:rsid w:val="00ED14CC"/>
    <w:rsid w:val="00ED2F5C"/>
    <w:rsid w:val="00EE0952"/>
    <w:rsid w:val="00F21386"/>
    <w:rsid w:val="00F374E3"/>
    <w:rsid w:val="00F43056"/>
    <w:rsid w:val="00F60B16"/>
    <w:rsid w:val="00F73918"/>
    <w:rsid w:val="00F81D99"/>
    <w:rsid w:val="00F84BF1"/>
    <w:rsid w:val="00F86C1A"/>
    <w:rsid w:val="00FC001E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FC39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85E1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Default">
    <w:name w:val="Default"/>
    <w:rsid w:val="00196346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  <w:style w:type="character" w:styleId="Hyperlink">
    <w:name w:val="Hyperlink"/>
    <w:basedOn w:val="DefaultParagraphFont"/>
    <w:uiPriority w:val="99"/>
    <w:unhideWhenUsed/>
    <w:rsid w:val="008B6A1B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B6A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78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DD79CA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1A"/>
    <w:rPr>
      <w:rFonts w:asciiTheme="majorHAnsi" w:eastAsiaTheme="majorEastAsia" w:hAnsiTheme="majorHAnsi" w:cstheme="majorBidi"/>
      <w:color w:val="0B1F36" w:themeColor="accent1" w:themeShade="7F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bminh@yaho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AppData\Local\Microsoft\Office\16.0\DTS\en-US%7b9F52A10E-6931-4D14-A0A1-145AA8DCA802%7d\%7b7E689F13-E529-4C75-B7E0-C195FA7540D2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C5ED4F4-AE24-4E9C-B62A-4652383FD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{7E689F13-E529-4C75-B7E0-C195FA7540D2}tf56348247_win32</Template>
  <TotalTime>0</TotalTime>
  <Pages>2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2024-12-05T14:20:00Z</dcterms:created>
  <dcterms:modified xsi:type="dcterms:W3CDTF">2024-12-05T14:20:00Z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